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5" w:line="288"/>
        <w:ind w:right="0" w:left="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36"/>
          <w:shd w:fill="FFFFFF" w:val="clear"/>
        </w:rPr>
        <w:t xml:space="preserve">НГФ 110 (Ш4) характеристики</w:t>
      </w:r>
    </w:p>
    <w:p>
      <w:pPr>
        <w:spacing w:before="0" w:after="240" w:line="270"/>
        <w:ind w:right="0" w:left="0" w:firstLine="0"/>
        <w:jc w:val="both"/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Технические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характеристики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НГФ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110 (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Ш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4)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производить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простые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фрезерные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операции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Назначение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станка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–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обучение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учащихся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в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школах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и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учебных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заведениях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основам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фрезерования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444444"/>
          <w:spacing w:val="0"/>
          <w:position w:val="0"/>
          <w:sz w:val="23"/>
          <w:shd w:fill="FFFFFF" w:val="clear"/>
        </w:rPr>
        <w:t xml:space="preserve">деталей</w:t>
      </w: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.</w:t>
      </w:r>
    </w:p>
    <w:tbl>
      <w:tblPr/>
      <w:tblGrid>
        <w:gridCol w:w="6347"/>
        <w:gridCol w:w="1318"/>
        <w:gridCol w:w="2009"/>
      </w:tblGrid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Наименование характеристики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Ед. изм.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Параметры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Класс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точности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ГОСТ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8-71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Н</w:t>
            </w:r>
          </w:p>
        </w:tc>
      </w:tr>
      <w:tr>
        <w:trPr>
          <w:trHeight w:val="1" w:hRule="atLeast"/>
          <w:jc w:val="left"/>
        </w:trPr>
        <w:tc>
          <w:tcPr>
            <w:tcW w:w="9674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Стол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Размеры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рабочей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поверхности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(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Д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Ш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)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400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100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Перемещение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X,Y,Z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250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85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х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170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Подача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ручная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Расстояния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от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торца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шпинделя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до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подшипника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подвески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не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менее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230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Расстояние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от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оси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шпинделя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до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30…200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Наибольший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диаметр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фрезы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110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Перемещение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на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одно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деление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лимба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продольное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поперечное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0,05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вертикальное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0,25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Перемещение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стола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на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один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оборот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лимба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продольное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поперечное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вертикальное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9674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Шпиндель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Количество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ступеней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скоростей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шпинделя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Внутренний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конус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шпинделя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Морзе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3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Частота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вращения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шпинделя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об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/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мин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125…1250</w:t>
            </w:r>
          </w:p>
        </w:tc>
      </w:tr>
      <w:tr>
        <w:trPr>
          <w:trHeight w:val="1" w:hRule="atLeast"/>
          <w:jc w:val="left"/>
        </w:trPr>
        <w:tc>
          <w:tcPr>
            <w:tcW w:w="9674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Электрооборудование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Мощность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электродвигателя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кВт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0,55…0,75</w:t>
            </w:r>
          </w:p>
        </w:tc>
      </w:tr>
      <w:tr>
        <w:trPr>
          <w:trHeight w:val="1" w:hRule="atLeast"/>
          <w:jc w:val="left"/>
        </w:trPr>
        <w:tc>
          <w:tcPr>
            <w:tcW w:w="9674" w:type="dxa"/>
            <w:gridSpan w:val="3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225" w:after="15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Габариты</w:t>
            </w:r>
            <w:r>
              <w:rPr>
                <w:rFonts w:ascii="inherit" w:hAnsi="inherit" w:cs="inherit" w:eastAsia="inherit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и</w:t>
            </w:r>
            <w:r>
              <w:rPr>
                <w:rFonts w:ascii="inherit" w:hAnsi="inherit" w:cs="inherit" w:eastAsia="inherit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333333"/>
                <w:spacing w:val="0"/>
                <w:position w:val="0"/>
                <w:sz w:val="21"/>
                <w:shd w:fill="auto" w:val="clear"/>
              </w:rPr>
              <w:t xml:space="preserve">масса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Габаритные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размеры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станка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длина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685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ширина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0f0f0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640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708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высота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мм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ffffff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925</w:t>
            </w:r>
          </w:p>
        </w:tc>
      </w:tr>
      <w:tr>
        <w:trPr>
          <w:trHeight w:val="1" w:hRule="atLeast"/>
          <w:jc w:val="left"/>
        </w:trPr>
        <w:tc>
          <w:tcPr>
            <w:tcW w:w="6347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dddddd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Масса</w:t>
            </w: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станка</w:t>
            </w:r>
          </w:p>
        </w:tc>
        <w:tc>
          <w:tcPr>
            <w:tcW w:w="1318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dddddd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3"/>
                <w:shd w:fill="auto" w:val="clear"/>
              </w:rPr>
              <w:t xml:space="preserve">кг</w:t>
            </w:r>
          </w:p>
        </w:tc>
        <w:tc>
          <w:tcPr>
            <w:tcW w:w="2009" w:type="dxa"/>
            <w:tcBorders>
              <w:top w:val="single" w:color="dddddd" w:sz="6"/>
              <w:left w:val="single" w:color="000000" w:sz="2"/>
              <w:bottom w:val="single" w:color="000000" w:sz="2"/>
              <w:right w:val="single" w:color="dddddd" w:sz="6"/>
            </w:tcBorders>
            <w:shd w:color="auto" w:fill="dddddd" w:val="clear"/>
            <w:tcMar>
              <w:left w:w="150" w:type="dxa"/>
              <w:right w:w="15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inherit" w:hAnsi="inherit" w:cs="inherit" w:eastAsia="inherit"/>
                <w:color w:val="auto"/>
                <w:spacing w:val="0"/>
                <w:position w:val="0"/>
                <w:sz w:val="23"/>
                <w:shd w:fill="auto" w:val="clear"/>
              </w:rPr>
              <w:t xml:space="preserve">240</w:t>
            </w:r>
          </w:p>
        </w:tc>
      </w:tr>
    </w:tbl>
    <w:p>
      <w:pPr>
        <w:spacing w:before="0" w:after="240" w:line="270"/>
        <w:ind w:right="0" w:left="0" w:firstLine="0"/>
        <w:jc w:val="both"/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</w:pPr>
      <w:r>
        <w:rPr>
          <w:rFonts w:ascii="inherit" w:hAnsi="inherit" w:cs="inherit" w:eastAsia="inherit"/>
          <w:color w:val="444444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