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4"/>
          <w:shd w:fill="auto" w:val="clear"/>
        </w:rPr>
        <w:t xml:space="preserve">Станки модели 6м13п предназначены для выполнения различных фрезерных работ в условиях как индивидуального, так и крупносерийного производства. В крупносерийном производстве станки могут быть успешно использованы также для выполнения работ операционного характера.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Габарит станка:</w:t>
        <w:br/>
        <w:br/>
        <w:t xml:space="preserve">длина 2565</w:t>
        <w:br/>
        <w:t xml:space="preserve">ширина 2135</w:t>
        <w:br/>
        <w:t xml:space="preserve">высота мм 2235</w:t>
        <w:br/>
        <w:br/>
        <w:t xml:space="preserve">Вес станка кг 4060</w:t>
        <w:br/>
        <w:br/>
        <w:t xml:space="preserve">Основные размеры</w:t>
        <w:br/>
        <w:br/>
        <w:t xml:space="preserve">Наименьшее и наибольшее расстояние от торца шпинделя до стола мм 30-500</w:t>
        <w:br/>
        <w:t xml:space="preserve">Расстояние от оси шпинделя до вертикальных направляющих станины мм 450</w:t>
        <w:br/>
        <w:t xml:space="preserve">Наибольшее расстояние от задней кромки стола до вертикальных направляющих станины мм 360</w:t>
        <w:br/>
        <w:t xml:space="preserve">Размер рабочей поверхности стола (длина/ширина) мм 1600/400</w:t>
        <w:br/>
        <w:br/>
        <w:t xml:space="preserve">Наибольшие перемещения стола:</w:t>
        <w:br/>
        <w:br/>
        <w:t xml:space="preserve">продольное от руки 900</w:t>
        <w:br/>
        <w:t xml:space="preserve">продольное механически 900</w:t>
        <w:br/>
        <w:t xml:space="preserve">поперечное от руки 320</w:t>
        <w:br/>
        <w:t xml:space="preserve">поперечное механически 300</w:t>
        <w:br/>
        <w:t xml:space="preserve">вертикальное от руки 420</w:t>
        <w:br/>
        <w:t xml:space="preserve">вертикальное механически мм 400</w:t>
        <w:br/>
        <w:br/>
        <w:t xml:space="preserve">Выключающие упоры продольной, поперечной и вертикальной подач Есть</w:t>
        <w:br/>
        <w:br/>
        <w:t xml:space="preserve">Автоматическая прерывная подача:</w:t>
        <w:br/>
        <w:br/>
        <w:t xml:space="preserve">продольная Есть</w:t>
        <w:br/>
        <w:t xml:space="preserve">поперечная и вертикальная Нет</w:t>
        <w:br/>
        <w:t xml:space="preserve">Перемещение на одно деление лимба мм 0,05</w:t>
        <w:br/>
        <w:br/>
        <w:t xml:space="preserve">Перемещение на один оборот лимба:</w:t>
        <w:br/>
        <w:br/>
        <w:t xml:space="preserve">продольное и поперечное 6</w:t>
        <w:br/>
        <w:t xml:space="preserve">вертикальное мм 2</w:t>
        <w:br/>
        <w:br/>
        <w:t xml:space="preserve">Число Т-образных пазов 3</w:t>
        <w:br/>
        <w:t xml:space="preserve">Предохранение от перегрузки (муфты) Есть</w:t>
        <w:br/>
        <w:t xml:space="preserve">Блокировка ручной и механической подач Есть</w:t>
        <w:br/>
        <w:br/>
        <w:t xml:space="preserve">Шпиндель</w:t>
        <w:br/>
        <w:br/>
        <w:t xml:space="preserve">Внутренний конус:</w:t>
        <w:br/>
        <w:br/>
        <w:t xml:space="preserve">система ГОСТ836-62</w:t>
        <w:br/>
        <w:t xml:space="preserve">размер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Торможение шпинделя Есть</w:t>
        <w:br/>
        <w:t xml:space="preserve">Блокировка рукояток Есть</w:t>
        <w:br/>
        <w:br/>
        <w:t xml:space="preserve">Наибольшее осевое перемещение пиноли шпинделя от руки мм 85</w:t>
        <w:br/>
        <w:t xml:space="preserve">Перемещение пиноли на один оборот лимба мм 4</w:t>
        <w:br/>
        <w:t xml:space="preserve">Перемещение пиноли на одно деление лимба мм 0,05</w:t>
        <w:br/>
        <w:t xml:space="preserve">Наибольший угол поворота шпиндельной головки град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±45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Поворот на одно деление шкалы град 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