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333333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7д36 предназначены для обработки плоских горизонтальных поверхностей , подрезки вертикальных поверхностей и строжки канавок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Класс точности Н</w:t>
        <w:br/>
        <w:t xml:space="preserve">Рабочая поверхность стола мм 710х450</w:t>
        <w:br/>
        <w:t xml:space="preserve">Ширина стола мм 450</w:t>
        <w:br/>
        <w:t xml:space="preserve">Ход ползуна мм 150 - 700</w:t>
        <w:br/>
        <w:t xml:space="preserve">Мощность главного привода кВт 7,5</w:t>
        <w:br/>
        <w:t xml:space="preserve">Макс.сечение резца - 40х25мм,</w:t>
        <w:br/>
        <w:t xml:space="preserve">Премещение стола - 700мм</w:t>
        <w:br/>
        <w:t xml:space="preserve">Вес (кг) 3400</w:t>
        <w:br/>
        <w:t xml:space="preserve">Завод производитель Гомельский стакостроительный завод им. Кирова, РУП</w:t>
        <w:br/>
        <w:t xml:space="preserve">Габариты (мм) 2850х1680х1840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